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15DC" w14:textId="4F060ACE" w:rsidR="00B0396D" w:rsidRPr="00143F69" w:rsidRDefault="00B0396D" w:rsidP="00B0396D">
      <w:pPr>
        <w:rPr>
          <w:b/>
          <w:bCs/>
        </w:rPr>
      </w:pPr>
      <w:r w:rsidRPr="00143F69">
        <w:rPr>
          <w:b/>
          <w:bCs/>
        </w:rPr>
        <w:t>Karen Gloy (2023): Formen der Machtausübung. Würzburg: Königshausen &amp; Neumann. 164 S. (ISBN 978-3-8260-7835-4)</w:t>
      </w:r>
      <w:r w:rsidR="00BB4385" w:rsidRPr="00143F69">
        <w:rPr>
          <w:b/>
          <w:bCs/>
        </w:rPr>
        <w:t>.</w:t>
      </w:r>
    </w:p>
    <w:p w14:paraId="173DF0E0" w14:textId="680D5EA8" w:rsidR="00143F69" w:rsidRDefault="00A770D3" w:rsidP="00B0396D">
      <w:r>
        <w:t xml:space="preserve">In Karen </w:t>
      </w:r>
      <w:proofErr w:type="spellStart"/>
      <w:r>
        <w:t>Gloys</w:t>
      </w:r>
      <w:proofErr w:type="spellEnd"/>
      <w:r>
        <w:t xml:space="preserve"> </w:t>
      </w:r>
      <w:r w:rsidR="00B0396D">
        <w:t xml:space="preserve">„Formen der Machtausübung“ untersucht </w:t>
      </w:r>
      <w:r>
        <w:t xml:space="preserve">die Autorin </w:t>
      </w:r>
      <w:r w:rsidR="00B0396D">
        <w:t xml:space="preserve">das Phänomen der Macht als </w:t>
      </w:r>
      <w:r w:rsidR="00BB4385">
        <w:t xml:space="preserve">eine </w:t>
      </w:r>
      <w:r w:rsidR="00B0396D">
        <w:t xml:space="preserve">vielschichtige Struktur, die sich von offener, physischer Gewalt bis hin zu subtilen, unsichtbaren Mechanismen des Denkens erstreckt. Macht </w:t>
      </w:r>
      <w:r>
        <w:t xml:space="preserve">sei nicht statisch, sondern ein </w:t>
      </w:r>
      <w:r w:rsidR="00B0396D">
        <w:t>dynamische</w:t>
      </w:r>
      <w:r>
        <w:t>r</w:t>
      </w:r>
      <w:r w:rsidR="00B0396D">
        <w:t xml:space="preserve"> Prozess in verschiedenen gesellschaftlichen Bereichen</w:t>
      </w:r>
      <w:r>
        <w:t xml:space="preserve"> und erstrecke sich auch auf den philosophischen Diskurs. Das breite Spektrum der Machtausübung reicht </w:t>
      </w:r>
      <w:r w:rsidR="00BB4385">
        <w:t xml:space="preserve">in diesem Buch </w:t>
      </w:r>
      <w:r w:rsidR="00B0396D">
        <w:t xml:space="preserve">vom Kannibalismus, dem Ringen um </w:t>
      </w:r>
      <w:r w:rsidR="00EF23AD">
        <w:t xml:space="preserve">territoriale </w:t>
      </w:r>
      <w:r w:rsidR="00B0396D">
        <w:t xml:space="preserve">Vorherrschaft, über </w:t>
      </w:r>
      <w:r w:rsidR="00BB4385">
        <w:t xml:space="preserve">das </w:t>
      </w:r>
      <w:r w:rsidR="00B0396D">
        <w:t xml:space="preserve">"Mimikry als Überlebenskampf" bis zu modernen gesellschaftlichen Strategien und insbesondere der Sprache und Erkenntnistheorie als deren kulturelle Formen. </w:t>
      </w:r>
    </w:p>
    <w:p w14:paraId="21985B22" w14:textId="22865A2B" w:rsidR="00B0396D" w:rsidRDefault="00B0396D" w:rsidP="00B0396D">
      <w:r>
        <w:t xml:space="preserve">Einen breiten Raum nimmt die </w:t>
      </w:r>
      <w:r w:rsidR="005E1CEC">
        <w:t xml:space="preserve">Präsentation </w:t>
      </w:r>
      <w:r>
        <w:t>und Deutung gesellschaftlicher Klassifikationssysteme von den "Listen</w:t>
      </w:r>
      <w:r w:rsidR="00BB4385">
        <w:t>methoden</w:t>
      </w:r>
      <w:r>
        <w:t xml:space="preserve">" des Orients bis zu modernen wissenschaftlichen </w:t>
      </w:r>
      <w:r w:rsidR="00BB4385">
        <w:t>Systematiken</w:t>
      </w:r>
      <w:r>
        <w:t xml:space="preserve"> der Natur ein sowie die Darstellung verschiedener Facetten des Konstruktivismus als moderner wissenschaftlicher Erkenntnismethode. Die Kernthese des Buches ist, dass wir in kulturbedingten Sprach- und Denkkäfigen leben, aus denen nur schwer auszubrechen sei. In früheren Werken ist </w:t>
      </w:r>
      <w:r w:rsidR="005E1CEC">
        <w:t>Karen</w:t>
      </w:r>
      <w:r>
        <w:t xml:space="preserve"> Gloy bereits als Kritikerin des "Universalismus" und Vertreterin eines kulturellen Relativismus hervorgetreten. </w:t>
      </w:r>
    </w:p>
    <w:p w14:paraId="2C349791" w14:textId="542E05FD" w:rsidR="00B0396D" w:rsidRDefault="005E1CEC" w:rsidP="00B0396D">
      <w:r>
        <w:t xml:space="preserve">Das Buch ist sehr interessant und lesenswert, fordert allerdings zumindest an zwei Punkten zur Kritik heraus: Erstens, stellt </w:t>
      </w:r>
      <w:proofErr w:type="spellStart"/>
      <w:r w:rsidR="00B0396D">
        <w:t>Gloys</w:t>
      </w:r>
      <w:proofErr w:type="spellEnd"/>
      <w:r w:rsidR="00B0396D">
        <w:t xml:space="preserve"> Relativismus die universelle Geltung von Menschenrechte in Frage und leistet damit </w:t>
      </w:r>
      <w:r>
        <w:t xml:space="preserve">indirekt </w:t>
      </w:r>
      <w:r w:rsidR="00B0396D">
        <w:t>einen Beitrag zur Legitimation von Brutalität und Gewalt in diktatorischen Regimes weltweit;</w:t>
      </w:r>
      <w:r>
        <w:t xml:space="preserve"> zweitens präsentiert sie an </w:t>
      </w:r>
      <w:r w:rsidR="00B0396D">
        <w:t xml:space="preserve">zahllosen Stellen </w:t>
      </w:r>
      <w:r w:rsidR="00BB4385">
        <w:t xml:space="preserve">des </w:t>
      </w:r>
      <w:r w:rsidR="00B0396D">
        <w:t>Text</w:t>
      </w:r>
      <w:r w:rsidR="00BB4385">
        <w:t>es</w:t>
      </w:r>
      <w:r w:rsidR="00B0396D">
        <w:t xml:space="preserve"> </w:t>
      </w:r>
      <w:proofErr w:type="spellStart"/>
      <w:r w:rsidR="00B0396D">
        <w:t>krypo</w:t>
      </w:r>
      <w:proofErr w:type="spellEnd"/>
      <w:r w:rsidR="00B0396D">
        <w:t>-normative Urteile, die mi</w:t>
      </w:r>
      <w:r w:rsidR="00EF23AD">
        <w:t>t</w:t>
      </w:r>
      <w:r w:rsidR="00B0396D">
        <w:t xml:space="preserve"> ihrer eigentlichen Hypothese gar nichts zu tun haben, beispielsweise wenn sie Migranten </w:t>
      </w:r>
      <w:r w:rsidR="00BB4385">
        <w:t xml:space="preserve">Eroberungsabsichten unterstellt oder </w:t>
      </w:r>
      <w:r w:rsidR="00B0396D">
        <w:t xml:space="preserve">Öko- und Klimaaktivisten </w:t>
      </w:r>
      <w:r w:rsidR="00BB4385">
        <w:t xml:space="preserve">mit Terrorismus in Verbindung bringt </w:t>
      </w:r>
      <w:r w:rsidR="00B0396D">
        <w:t>oder allgemein gegen "demokratische Gleichschaltung"</w:t>
      </w:r>
      <w:r w:rsidR="00143F69">
        <w:t xml:space="preserve"> (S.67)</w:t>
      </w:r>
      <w:r w:rsidR="00B0396D">
        <w:t xml:space="preserve"> polemisiert.</w:t>
      </w:r>
    </w:p>
    <w:p w14:paraId="0DBCB8D8" w14:textId="3FE4F034" w:rsidR="00B0396D" w:rsidRDefault="00B0396D" w:rsidP="00B0396D">
      <w:proofErr w:type="spellStart"/>
      <w:r>
        <w:t>Gloys</w:t>
      </w:r>
      <w:proofErr w:type="spellEnd"/>
      <w:r>
        <w:t xml:space="preserve"> Ausführungen zu den Konstruktionssystemen von Macht und Wissen mit der Gegenüberstellung von hierarchischen Methoden, Analogiedenken und der babylonischen „Listenmethode“ sind durchaus interessant und aufschlussreich (ebd., S. 130 ff.), problematisch sind allerdings die Schlussfolgerungen, die sie daraus zieht. So etwa ihre Behauptung, „Wissenschaftssysteme sind Glaubenssysteme und im Glauben fundiert“ (S.128) oder Wissenschaft gründe im Mythos. Tatsächlich entstand das wissenschaftliche Denken im antiken Griechenland gerade aus der Abgrenzung der Sphären von Mythos und Logos und </w:t>
      </w:r>
      <w:r w:rsidR="00EF23AD">
        <w:t xml:space="preserve">basiert </w:t>
      </w:r>
      <w:r>
        <w:t xml:space="preserve">auf der Suche nach belegbarer Wahrheit anstelle des Glaubens an Tradition und Überlieferung. Wer diese Differenz ignoriert, gibt den Wahrheitsbegriff selbst preis. </w:t>
      </w:r>
      <w:proofErr w:type="spellStart"/>
      <w:r>
        <w:t>Gloy</w:t>
      </w:r>
      <w:proofErr w:type="spellEnd"/>
      <w:r>
        <w:t xml:space="preserve"> behauptet, </w:t>
      </w:r>
      <w:r w:rsidR="00EF23AD">
        <w:t>menschliche</w:t>
      </w:r>
      <w:r>
        <w:t xml:space="preserve"> Kulturen hätten „verschiedene logische Systeme“ hervorgebracht, die „intern kohärent und konsistent“ seien, aber keine universelle Überprüfbarkeit oder Gültigkeit reklamieren könnten „Die Gültigkeit ist lediglich eine interne, nicht eine externe.“ (S.121) Gibt es wirklich verschiedene Logiken? Gilt also beispielsweise der Satz vom ausgeschlossenen Dritten nur für die antike und westliche Kultur? Wer das behauptet, sollte erklären, warum in China oder Indien eine Aussage zugleich wahr und falsch sein kann, ein </w:t>
      </w:r>
      <w:r>
        <w:lastRenderedPageBreak/>
        <w:t xml:space="preserve">Mensch zum Beispiel zugleich leben und nicht leben, ein Fenster zugleich offen und geschlossen sein kann. </w:t>
      </w:r>
    </w:p>
    <w:p w14:paraId="1C0BFA22" w14:textId="25B89A37" w:rsidR="00B0396D" w:rsidRDefault="00B0396D" w:rsidP="00B0396D">
      <w:pPr>
        <w:rPr>
          <w:bCs/>
        </w:rPr>
      </w:pPr>
      <w:r>
        <w:rPr>
          <w:bCs/>
        </w:rPr>
        <w:t xml:space="preserve">Karen Gloys Ansichten laufen auf eine Partikularisierung der Vernunft und eine Relativierung des Wahrheitsbegriffs hinaus. Sie erinnern stark an den Wissenschaftskritiker Paul Feyerabend, der in den 1970er Jahren mit seinem </w:t>
      </w:r>
      <w:proofErr w:type="spellStart"/>
      <w:r w:rsidR="005E1CEC" w:rsidRPr="005E1CEC">
        <w:rPr>
          <w:bCs/>
          <w:i/>
          <w:iCs/>
        </w:rPr>
        <w:t>a</w:t>
      </w:r>
      <w:r w:rsidRPr="005E1CEC">
        <w:rPr>
          <w:bCs/>
          <w:i/>
          <w:iCs/>
        </w:rPr>
        <w:t>nything</w:t>
      </w:r>
      <w:proofErr w:type="spellEnd"/>
      <w:r w:rsidRPr="005E1CEC">
        <w:rPr>
          <w:bCs/>
          <w:i/>
          <w:iCs/>
        </w:rPr>
        <w:t xml:space="preserve"> </w:t>
      </w:r>
      <w:proofErr w:type="spellStart"/>
      <w:r w:rsidRPr="005E1CEC">
        <w:rPr>
          <w:bCs/>
          <w:i/>
          <w:iCs/>
        </w:rPr>
        <w:t>goes</w:t>
      </w:r>
      <w:proofErr w:type="spellEnd"/>
      <w:r>
        <w:rPr>
          <w:bCs/>
        </w:rPr>
        <w:t xml:space="preserve"> </w:t>
      </w:r>
      <w:r w:rsidR="005E1CEC">
        <w:rPr>
          <w:bCs/>
        </w:rPr>
        <w:t>(</w:t>
      </w:r>
      <w:r w:rsidR="00EF23AD">
        <w:rPr>
          <w:bCs/>
        </w:rPr>
        <w:t xml:space="preserve">siehe </w:t>
      </w:r>
      <w:r w:rsidR="005E1CEC">
        <w:rPr>
          <w:bCs/>
        </w:rPr>
        <w:t>„</w:t>
      </w:r>
      <w:proofErr w:type="spellStart"/>
      <w:r w:rsidR="005E1CEC" w:rsidRPr="005E1CEC">
        <w:rPr>
          <w:bCs/>
        </w:rPr>
        <w:t>Against</w:t>
      </w:r>
      <w:proofErr w:type="spellEnd"/>
      <w:r w:rsidR="005E1CEC" w:rsidRPr="005E1CEC">
        <w:rPr>
          <w:bCs/>
        </w:rPr>
        <w:t xml:space="preserve"> Method: Outline of an </w:t>
      </w:r>
      <w:proofErr w:type="spellStart"/>
      <w:r w:rsidR="005E1CEC" w:rsidRPr="005E1CEC">
        <w:rPr>
          <w:bCs/>
        </w:rPr>
        <w:t>Anarchistic</w:t>
      </w:r>
      <w:proofErr w:type="spellEnd"/>
      <w:r w:rsidR="005E1CEC" w:rsidRPr="005E1CEC">
        <w:rPr>
          <w:bCs/>
        </w:rPr>
        <w:t xml:space="preserve"> Theory of Knowledge</w:t>
      </w:r>
      <w:r w:rsidR="005E1CEC">
        <w:rPr>
          <w:bCs/>
        </w:rPr>
        <w:t>“, London 1975 – dt. „Wider de</w:t>
      </w:r>
      <w:r w:rsidR="00FB4E8C">
        <w:rPr>
          <w:bCs/>
        </w:rPr>
        <w:t>n</w:t>
      </w:r>
      <w:r w:rsidR="005E1CEC">
        <w:rPr>
          <w:bCs/>
        </w:rPr>
        <w:t xml:space="preserve"> Methodenzwang“) </w:t>
      </w:r>
      <w:r>
        <w:rPr>
          <w:bCs/>
        </w:rPr>
        <w:t>zwar aus einer anderen Perspektive, aber mit gleicher Konsequenz gegen den Absolutheitsanspruch der westlichen Wissenschaft wetterte, sie auf irrationale Ursprünge zurückführen wollte und im Rationalismus eine Einschränkung der freien Entfaltung des Menschen sah. Was damals noch rebellisch anmutete, weil es mit einem so radikalen Habitus daherkam, der scheinbar alte Gewissheiten wortgewaltig in Frage stellte, ist heute eine Bedrohung für den gesellschaftlichen Diskurs. Feyerabend konnte sich offensichtlich nicht vorstellen, was es praktisch heißt, wenn plötzlich auch „alternative Fakten“ gelten sollen, vom Internet und seinen Manipulationsmöglichkeiten und überhaupt einer Idee „gefühlter Wahrheit“ ganz zu schweigen.</w:t>
      </w:r>
    </w:p>
    <w:p w14:paraId="12879EA8" w14:textId="0A16677F" w:rsidR="00B0396D" w:rsidRDefault="00B0396D" w:rsidP="00B0396D">
      <w:pPr>
        <w:rPr>
          <w:bCs/>
        </w:rPr>
      </w:pPr>
      <w:r>
        <w:rPr>
          <w:bCs/>
        </w:rPr>
        <w:t xml:space="preserve">Bei </w:t>
      </w:r>
      <w:proofErr w:type="spellStart"/>
      <w:r>
        <w:rPr>
          <w:bCs/>
        </w:rPr>
        <w:t>Gloys</w:t>
      </w:r>
      <w:proofErr w:type="spellEnd"/>
      <w:r>
        <w:rPr>
          <w:bCs/>
        </w:rPr>
        <w:t xml:space="preserve"> „Formen der Machtausübung“ zeigt sich der Relativismus im Hinblick auf wahrheitsfähige Aussagen auch darin, dass </w:t>
      </w:r>
      <w:r w:rsidR="00143F69">
        <w:rPr>
          <w:bCs/>
        </w:rPr>
        <w:t xml:space="preserve">die Verfasserin </w:t>
      </w:r>
      <w:r>
        <w:rPr>
          <w:bCs/>
        </w:rPr>
        <w:t xml:space="preserve">in diesem Buch an zig Stellen ihre persönlichen Ansichten zu Themen wie Migration oder Demokratie präsentiert, die sich aber notwendigerweise gar nicht aus ihrem philosophischen Ansatz ergeben, sondern als krypto-normative Behauptungen eingeschleust werden. So beispielsweise, wenn sie erklärt, die „Errungenschaften der Demokratie“ tendierten zur „Nivellierung aller natürlichen Unterschiede“ und führten zu „Auflösungserscheinungen“ und „Chaos“ (S.66). Daher seien „Führung“ und (verordnete?) „Selbstbeschränkung“ vonnöten. Auch aus ihrer Abneigung gegenüber basisdemokratischen Formen zivilgesellschaftlicher Artikulation macht sie keinen Hehl: ziviler Ungehorsam beruhe auf „Eigensinn und Eigennutz“ und Öko- und Klimaaktivisten übten „terroristische Formen“ des Protests aus. (S.67). In heutigen Migrationsbewegungen </w:t>
      </w:r>
      <w:r w:rsidR="00143F69">
        <w:rPr>
          <w:bCs/>
        </w:rPr>
        <w:t>erkennt</w:t>
      </w:r>
      <w:r>
        <w:rPr>
          <w:bCs/>
        </w:rPr>
        <w:t xml:space="preserve"> sie „verkappte Herrschaftsansprüche“ und einen „Aufwärtstrend der Unterlegenen“, (S.49 f.), so als seien </w:t>
      </w:r>
      <w:r w:rsidR="00BB4385">
        <w:rPr>
          <w:bCs/>
        </w:rPr>
        <w:t>die verzweifelten Menschen, die versuchen</w:t>
      </w:r>
      <w:r>
        <w:rPr>
          <w:bCs/>
        </w:rPr>
        <w:t>, dem Elend und der Armut ihres Heimatlandes zu entkommen, allesamt Piraten oder aggressive Eroberer.</w:t>
      </w:r>
    </w:p>
    <w:p w14:paraId="56D8B4E0" w14:textId="4F3D116D" w:rsidR="00F60F5F" w:rsidRDefault="00EF23AD">
      <w:pPr>
        <w:rPr>
          <w:bCs/>
        </w:rPr>
      </w:pPr>
      <w:r>
        <w:rPr>
          <w:bCs/>
        </w:rPr>
        <w:t xml:space="preserve">Schließlich ist </w:t>
      </w:r>
      <w:proofErr w:type="spellStart"/>
      <w:r w:rsidR="00BB4385">
        <w:rPr>
          <w:bCs/>
        </w:rPr>
        <w:t>Gloys</w:t>
      </w:r>
      <w:proofErr w:type="spellEnd"/>
      <w:r w:rsidR="00BB4385">
        <w:rPr>
          <w:bCs/>
        </w:rPr>
        <w:t xml:space="preserve"> </w:t>
      </w:r>
      <w:r w:rsidR="00B0396D">
        <w:rPr>
          <w:bCs/>
        </w:rPr>
        <w:t xml:space="preserve">Vorstellung von „Sprachgefängnissen“, denen man nicht entfliehen könne, </w:t>
      </w:r>
      <w:r w:rsidR="00143F69">
        <w:rPr>
          <w:bCs/>
        </w:rPr>
        <w:t xml:space="preserve">nicht zuletzt </w:t>
      </w:r>
      <w:r w:rsidR="00B0396D">
        <w:rPr>
          <w:bCs/>
        </w:rPr>
        <w:t xml:space="preserve">durch die seit Jahrhunderten geübte Praxis interkultureller Kommunikation zu Fragen von Religion und Philosophie praktisch </w:t>
      </w:r>
      <w:r>
        <w:rPr>
          <w:bCs/>
        </w:rPr>
        <w:t xml:space="preserve">längst </w:t>
      </w:r>
      <w:r w:rsidR="00B0396D">
        <w:rPr>
          <w:bCs/>
        </w:rPr>
        <w:t xml:space="preserve">widerlegt. Chinesen lesen und verstehen Hegel und Kant, Wittgenstein und die postmodernen Denker, während westliche Menschen sich die Lehren von Buddha, </w:t>
      </w:r>
      <w:proofErr w:type="spellStart"/>
      <w:r w:rsidR="00B0396D">
        <w:rPr>
          <w:bCs/>
        </w:rPr>
        <w:t>Laozi</w:t>
      </w:r>
      <w:proofErr w:type="spellEnd"/>
      <w:r w:rsidR="00B0396D">
        <w:rPr>
          <w:bCs/>
        </w:rPr>
        <w:t xml:space="preserve"> und Konfuzius erschließen</w:t>
      </w:r>
      <w:r w:rsidR="00143F69">
        <w:rPr>
          <w:bCs/>
        </w:rPr>
        <w:t>,</w:t>
      </w:r>
      <w:r w:rsidR="00B0396D">
        <w:rPr>
          <w:bCs/>
        </w:rPr>
        <w:t xml:space="preserve"> auch ohne in einer asiatischen Kultur aufgewachsen und von ihr geprägt worden zu sein. Heute geht es im Diskurs zwischen östlichem und westlichem Denken </w:t>
      </w:r>
      <w:r>
        <w:rPr>
          <w:bCs/>
        </w:rPr>
        <w:t xml:space="preserve">m.E. </w:t>
      </w:r>
      <w:r w:rsidR="00B0396D">
        <w:rPr>
          <w:bCs/>
        </w:rPr>
        <w:t xml:space="preserve">kaum noch um die „großen Fragen“ </w:t>
      </w:r>
      <w:r w:rsidR="00BB4385">
        <w:rPr>
          <w:bCs/>
        </w:rPr>
        <w:t>des Seins, die</w:t>
      </w:r>
      <w:r w:rsidR="00B0396D">
        <w:rPr>
          <w:bCs/>
        </w:rPr>
        <w:t xml:space="preserve"> wurde</w:t>
      </w:r>
      <w:r w:rsidR="00BB4385">
        <w:rPr>
          <w:bCs/>
        </w:rPr>
        <w:t>n</w:t>
      </w:r>
      <w:r w:rsidR="00B0396D">
        <w:rPr>
          <w:bCs/>
        </w:rPr>
        <w:t xml:space="preserve"> im Wesentlichen in </w:t>
      </w:r>
      <w:r w:rsidR="00143F69">
        <w:rPr>
          <w:bCs/>
        </w:rPr>
        <w:t>vielen</w:t>
      </w:r>
      <w:r w:rsidR="00B0396D">
        <w:rPr>
          <w:bCs/>
        </w:rPr>
        <w:t xml:space="preserve"> zentralen Aspekten schon durchdekliniert. Im Mittelpunkt stehen vielmehr Einzelfragen, z.B. nach den Konzepten von Zeit und Ewigkeit, die Definition von Geist und Bewusstsein, die Implikationen des </w:t>
      </w:r>
      <w:r w:rsidR="00B0396D">
        <w:rPr>
          <w:bCs/>
        </w:rPr>
        <w:lastRenderedPageBreak/>
        <w:t>Freiheitsbegriffs und der Vorstellung eines freien Willens</w:t>
      </w:r>
      <w:r w:rsidR="00143F69">
        <w:rPr>
          <w:bCs/>
        </w:rPr>
        <w:t xml:space="preserve">, etwa im Rahmen von </w:t>
      </w:r>
      <w:r w:rsidR="00B0396D">
        <w:rPr>
          <w:bCs/>
        </w:rPr>
        <w:t>kritische</w:t>
      </w:r>
      <w:r w:rsidR="00143F69">
        <w:rPr>
          <w:bCs/>
        </w:rPr>
        <w:t>n</w:t>
      </w:r>
      <w:r w:rsidR="00B0396D">
        <w:rPr>
          <w:bCs/>
        </w:rPr>
        <w:t xml:space="preserve"> Deutungen der</w:t>
      </w:r>
      <w:r w:rsidR="00143F69">
        <w:rPr>
          <w:bCs/>
        </w:rPr>
        <w:t xml:space="preserve"> De</w:t>
      </w:r>
      <w:r>
        <w:rPr>
          <w:bCs/>
        </w:rPr>
        <w:t>terminismus</w:t>
      </w:r>
      <w:r w:rsidR="00143F69">
        <w:rPr>
          <w:bCs/>
        </w:rPr>
        <w:t>- oder der</w:t>
      </w:r>
      <w:r w:rsidR="00B0396D">
        <w:rPr>
          <w:bCs/>
        </w:rPr>
        <w:t xml:space="preserve"> </w:t>
      </w:r>
      <w:proofErr w:type="spellStart"/>
      <w:r w:rsidR="00B0396D">
        <w:rPr>
          <w:bCs/>
        </w:rPr>
        <w:t>Karmalehre</w:t>
      </w:r>
      <w:proofErr w:type="spellEnd"/>
      <w:r w:rsidR="00B0396D">
        <w:rPr>
          <w:bCs/>
        </w:rPr>
        <w:t xml:space="preserve">. </w:t>
      </w:r>
    </w:p>
    <w:p w14:paraId="2B1D600B" w14:textId="14BC6978" w:rsidR="00143F69" w:rsidRDefault="00143F69">
      <w:r>
        <w:rPr>
          <w:bCs/>
        </w:rPr>
        <w:t>Hans-Günter Wagner</w:t>
      </w:r>
    </w:p>
    <w:sectPr w:rsidR="00143F6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73E2" w14:textId="77777777" w:rsidR="001C7E5F" w:rsidRDefault="001C7E5F" w:rsidP="00EF23AD">
      <w:pPr>
        <w:spacing w:after="0" w:line="240" w:lineRule="auto"/>
      </w:pPr>
      <w:r>
        <w:separator/>
      </w:r>
    </w:p>
  </w:endnote>
  <w:endnote w:type="continuationSeparator" w:id="0">
    <w:p w14:paraId="205BE0AE" w14:textId="77777777" w:rsidR="001C7E5F" w:rsidRDefault="001C7E5F" w:rsidP="00EF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C828D" w14:textId="77777777" w:rsidR="001C7E5F" w:rsidRDefault="001C7E5F" w:rsidP="00EF23AD">
      <w:pPr>
        <w:spacing w:after="0" w:line="240" w:lineRule="auto"/>
      </w:pPr>
      <w:r>
        <w:separator/>
      </w:r>
    </w:p>
  </w:footnote>
  <w:footnote w:type="continuationSeparator" w:id="0">
    <w:p w14:paraId="4C840359" w14:textId="77777777" w:rsidR="001C7E5F" w:rsidRDefault="001C7E5F" w:rsidP="00EF23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96D"/>
    <w:rsid w:val="00143F69"/>
    <w:rsid w:val="001C7E5F"/>
    <w:rsid w:val="005E1CEC"/>
    <w:rsid w:val="00A31292"/>
    <w:rsid w:val="00A770D3"/>
    <w:rsid w:val="00AF78F7"/>
    <w:rsid w:val="00B0396D"/>
    <w:rsid w:val="00BB4385"/>
    <w:rsid w:val="00C14600"/>
    <w:rsid w:val="00CC2DD6"/>
    <w:rsid w:val="00D4328B"/>
    <w:rsid w:val="00EF23AD"/>
    <w:rsid w:val="00F60F5F"/>
    <w:rsid w:val="00F8754C"/>
    <w:rsid w:val="00FB3136"/>
    <w:rsid w:val="00FB4E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21771"/>
  <w15:chartTrackingRefBased/>
  <w15:docId w15:val="{D06487DF-40E0-4143-80C1-76584E0E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396D"/>
    <w:pPr>
      <w:spacing w:line="276" w:lineRule="auto"/>
    </w:pPr>
    <w:rPr>
      <w:rFonts w:ascii="Calibri" w:eastAsia="DengXian" w:hAnsi="Calibri" w:cs="Times New Roman"/>
    </w:rPr>
  </w:style>
  <w:style w:type="paragraph" w:styleId="berschrift1">
    <w:name w:val="heading 1"/>
    <w:basedOn w:val="Standard"/>
    <w:next w:val="Standard"/>
    <w:link w:val="berschrift1Zchn"/>
    <w:uiPriority w:val="9"/>
    <w:qFormat/>
    <w:rsid w:val="00B0396D"/>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0396D"/>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0396D"/>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0396D"/>
    <w:pPr>
      <w:keepNext/>
      <w:keepLines/>
      <w:spacing w:before="80" w:after="40" w:line="278" w:lineRule="auto"/>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0396D"/>
    <w:pPr>
      <w:keepNext/>
      <w:keepLines/>
      <w:spacing w:before="80" w:after="40" w:line="278" w:lineRule="auto"/>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B0396D"/>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0396D"/>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0396D"/>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0396D"/>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0396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0396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0396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0396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0396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039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039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039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0396D"/>
    <w:rPr>
      <w:rFonts w:eastAsiaTheme="majorEastAsia" w:cstheme="majorBidi"/>
      <w:color w:val="272727" w:themeColor="text1" w:themeTint="D8"/>
    </w:rPr>
  </w:style>
  <w:style w:type="paragraph" w:styleId="Titel">
    <w:name w:val="Title"/>
    <w:basedOn w:val="Standard"/>
    <w:next w:val="Standard"/>
    <w:link w:val="TitelZchn"/>
    <w:uiPriority w:val="10"/>
    <w:qFormat/>
    <w:rsid w:val="00B03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39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396D"/>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039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396D"/>
    <w:pPr>
      <w:spacing w:before="160" w:line="278" w:lineRule="auto"/>
      <w:jc w:val="center"/>
    </w:pPr>
    <w:rPr>
      <w:rFonts w:asciiTheme="minorHAnsi" w:eastAsiaTheme="minorEastAsia" w:hAnsiTheme="minorHAnsi" w:cstheme="minorBidi"/>
      <w:i/>
      <w:iCs/>
      <w:color w:val="404040" w:themeColor="text1" w:themeTint="BF"/>
    </w:rPr>
  </w:style>
  <w:style w:type="character" w:customStyle="1" w:styleId="ZitatZchn">
    <w:name w:val="Zitat Zchn"/>
    <w:basedOn w:val="Absatz-Standardschriftart"/>
    <w:link w:val="Zitat"/>
    <w:uiPriority w:val="29"/>
    <w:rsid w:val="00B0396D"/>
    <w:rPr>
      <w:i/>
      <w:iCs/>
      <w:color w:val="404040" w:themeColor="text1" w:themeTint="BF"/>
    </w:rPr>
  </w:style>
  <w:style w:type="paragraph" w:styleId="Listenabsatz">
    <w:name w:val="List Paragraph"/>
    <w:basedOn w:val="Standard"/>
    <w:uiPriority w:val="34"/>
    <w:qFormat/>
    <w:rsid w:val="00B0396D"/>
    <w:pPr>
      <w:spacing w:line="278" w:lineRule="auto"/>
      <w:ind w:left="720"/>
      <w:contextualSpacing/>
    </w:pPr>
    <w:rPr>
      <w:rFonts w:asciiTheme="minorHAnsi" w:eastAsiaTheme="minorEastAsia" w:hAnsiTheme="minorHAnsi" w:cstheme="minorBidi"/>
    </w:rPr>
  </w:style>
  <w:style w:type="character" w:styleId="IntensiveHervorhebung">
    <w:name w:val="Intense Emphasis"/>
    <w:basedOn w:val="Absatz-Standardschriftart"/>
    <w:uiPriority w:val="21"/>
    <w:qFormat/>
    <w:rsid w:val="00B0396D"/>
    <w:rPr>
      <w:i/>
      <w:iCs/>
      <w:color w:val="2F5496" w:themeColor="accent1" w:themeShade="BF"/>
    </w:rPr>
  </w:style>
  <w:style w:type="paragraph" w:styleId="IntensivesZitat">
    <w:name w:val="Intense Quote"/>
    <w:basedOn w:val="Standard"/>
    <w:next w:val="Standard"/>
    <w:link w:val="IntensivesZitatZchn"/>
    <w:uiPriority w:val="30"/>
    <w:qFormat/>
    <w:rsid w:val="00B0396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rPr>
  </w:style>
  <w:style w:type="character" w:customStyle="1" w:styleId="IntensivesZitatZchn">
    <w:name w:val="Intensives Zitat Zchn"/>
    <w:basedOn w:val="Absatz-Standardschriftart"/>
    <w:link w:val="IntensivesZitat"/>
    <w:uiPriority w:val="30"/>
    <w:rsid w:val="00B0396D"/>
    <w:rPr>
      <w:i/>
      <w:iCs/>
      <w:color w:val="2F5496" w:themeColor="accent1" w:themeShade="BF"/>
    </w:rPr>
  </w:style>
  <w:style w:type="character" w:styleId="IntensiverVerweis">
    <w:name w:val="Intense Reference"/>
    <w:basedOn w:val="Absatz-Standardschriftart"/>
    <w:uiPriority w:val="32"/>
    <w:qFormat/>
    <w:rsid w:val="00B0396D"/>
    <w:rPr>
      <w:b/>
      <w:bCs/>
      <w:smallCaps/>
      <w:color w:val="2F5496" w:themeColor="accent1" w:themeShade="BF"/>
      <w:spacing w:val="5"/>
    </w:rPr>
  </w:style>
  <w:style w:type="paragraph" w:styleId="Kopfzeile">
    <w:name w:val="header"/>
    <w:basedOn w:val="Standard"/>
    <w:link w:val="KopfzeileZchn"/>
    <w:uiPriority w:val="99"/>
    <w:unhideWhenUsed/>
    <w:rsid w:val="00EF23A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23AD"/>
    <w:rPr>
      <w:rFonts w:ascii="Calibri" w:eastAsia="DengXian" w:hAnsi="Calibri" w:cs="Times New Roman"/>
    </w:rPr>
  </w:style>
  <w:style w:type="paragraph" w:styleId="Fuzeile">
    <w:name w:val="footer"/>
    <w:basedOn w:val="Standard"/>
    <w:link w:val="FuzeileZchn"/>
    <w:uiPriority w:val="99"/>
    <w:unhideWhenUsed/>
    <w:rsid w:val="00EF23A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23AD"/>
    <w:rPr>
      <w:rFonts w:ascii="Calibri" w:eastAsia="DengXi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5847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Hans-Günter Wagner</dc:creator>
  <cp:keywords/>
  <dc:description/>
  <cp:lastModifiedBy>Hans-Günter Wagner</cp:lastModifiedBy>
  <cp:revision>5</cp:revision>
  <dcterms:created xsi:type="dcterms:W3CDTF">2026-10-05T11:21:00Z</dcterms:created>
  <dcterms:modified xsi:type="dcterms:W3CDTF">2026-10-05T16:25:00Z</dcterms:modified>
</cp:coreProperties>
</file>